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pBdr>
          <w:top w:space="0" w:sz="0" w:val="nil"/>
          <w:left w:space="0" w:sz="0" w:val="nil"/>
          <w:bottom w:space="0" w:sz="0" w:val="nil"/>
          <w:right w:space="0" w:sz="0" w:val="nil"/>
          <w:between w:space="0" w:sz="0" w:val="nil"/>
        </w:pBdr>
        <w:shd w:fill="auto" w:val="clear"/>
        <w:rPr/>
      </w:pPr>
      <w:bookmarkStart w:colFirst="0" w:colLast="0" w:name="_hcfsn8dd2dw4" w:id="0"/>
      <w:bookmarkEnd w:id="0"/>
      <w:r w:rsidDel="00000000" w:rsidR="00000000" w:rsidRPr="00000000">
        <w:rPr>
          <w:rtl w:val="0"/>
        </w:rPr>
      </w:r>
    </w:p>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rPr/>
      </w:pPr>
      <w:bookmarkStart w:colFirst="0" w:colLast="0" w:name="_ymu0zylc49xq" w:id="1"/>
      <w:bookmarkEnd w:id="1"/>
      <w:r w:rsidDel="00000000" w:rsidR="00000000" w:rsidRPr="00000000">
        <w:rPr>
          <w:rtl w:val="0"/>
        </w:rPr>
        <w:t xml:space="preserve">Do Pets Affect The Mental Health of NMC Students?</w:t>
      </w:r>
    </w:p>
    <w:p w:rsidR="00000000" w:rsidDel="00000000" w:rsidP="00000000" w:rsidRDefault="00000000" w:rsidRPr="00000000" w14:paraId="00000002">
      <w:pPr>
        <w:pStyle w:val="Subtitle"/>
        <w:pBdr>
          <w:top w:space="0" w:sz="0" w:val="nil"/>
          <w:left w:space="0" w:sz="0" w:val="nil"/>
          <w:bottom w:space="0" w:sz="0" w:val="nil"/>
          <w:right w:space="0" w:sz="0" w:val="nil"/>
          <w:between w:space="0" w:sz="0" w:val="nil"/>
        </w:pBdr>
        <w:shd w:fill="auto" w:val="clear"/>
        <w:jc w:val="center"/>
        <w:rPr/>
      </w:pPr>
      <w:bookmarkStart w:colFirst="0" w:colLast="0" w:name="_ge1mjihjofy9" w:id="2"/>
      <w:bookmarkEnd w:id="2"/>
      <w:r w:rsidDel="00000000" w:rsidR="00000000" w:rsidRPr="00000000">
        <w:rPr>
          <w:rtl w:val="0"/>
        </w:rPr>
        <w:t xml:space="preserve">Annel Louise P. Ligaya</w:t>
      </w:r>
    </w:p>
    <w:p w:rsidR="00000000" w:rsidDel="00000000" w:rsidP="00000000" w:rsidRDefault="00000000" w:rsidRPr="00000000" w14:paraId="00000003">
      <w:pPr>
        <w:pStyle w:val="Subtitle"/>
        <w:pBdr>
          <w:top w:space="0" w:sz="0" w:val="nil"/>
          <w:left w:space="0" w:sz="0" w:val="nil"/>
          <w:bottom w:space="0" w:sz="0" w:val="nil"/>
          <w:right w:space="0" w:sz="0" w:val="nil"/>
          <w:between w:space="0" w:sz="0" w:val="nil"/>
        </w:pBdr>
        <w:shd w:fill="auto" w:val="clear"/>
        <w:jc w:val="center"/>
        <w:rPr/>
      </w:pPr>
      <w:bookmarkStart w:colFirst="0" w:colLast="0" w:name="_cvzw95kvmu13" w:id="3"/>
      <w:bookmarkEnd w:id="3"/>
      <w:r w:rsidDel="00000000" w:rsidR="00000000" w:rsidRPr="00000000">
        <w:rPr>
          <w:rtl w:val="0"/>
        </w:rPr>
        <w:t xml:space="preserve">Northern Marianas College</w:t>
        <w:br w:type="textWrapping"/>
        <w:t xml:space="preserve">Dr. Kimberly Bunts-Anderson</w:t>
      </w:r>
    </w:p>
    <w:p w:rsidR="00000000" w:rsidDel="00000000" w:rsidP="00000000" w:rsidRDefault="00000000" w:rsidRPr="00000000" w14:paraId="00000004">
      <w:pPr>
        <w:pStyle w:val="Subtitle"/>
        <w:pBdr>
          <w:top w:space="0" w:sz="0" w:val="nil"/>
          <w:left w:space="0" w:sz="0" w:val="nil"/>
          <w:bottom w:space="0" w:sz="0" w:val="nil"/>
          <w:right w:space="0" w:sz="0" w:val="nil"/>
          <w:between w:space="0" w:sz="0" w:val="nil"/>
        </w:pBdr>
        <w:shd w:fill="auto" w:val="clear"/>
        <w:jc w:val="center"/>
        <w:rPr/>
      </w:pPr>
      <w:bookmarkStart w:colFirst="0" w:colLast="0" w:name="_yrm05ns37odp" w:id="4"/>
      <w:bookmarkEnd w:id="4"/>
      <w:r w:rsidDel="00000000" w:rsidR="00000000" w:rsidRPr="00000000">
        <w:rPr>
          <w:rtl w:val="0"/>
        </w:rPr>
        <w:t xml:space="preserve">EN101 - 06</w:t>
        <w:br w:type="textWrapping"/>
        <w:t xml:space="preserve">Proposal Essay</w:t>
        <w:br w:type="textWrapping"/>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firstLine="720"/>
        <w:rPr/>
      </w:pPr>
      <w:r w:rsidDel="00000000" w:rsidR="00000000" w:rsidRPr="00000000">
        <w:br w:type="page"/>
      </w:r>
      <w:r w:rsidDel="00000000" w:rsidR="00000000" w:rsidRPr="00000000">
        <w:rPr>
          <w:rtl w:val="0"/>
        </w:rPr>
      </w:r>
    </w:p>
    <w:p w:rsidR="00000000" w:rsidDel="00000000" w:rsidP="00000000" w:rsidRDefault="00000000" w:rsidRPr="00000000" w14:paraId="00000008">
      <w:pPr>
        <w:pStyle w:val="Heading1"/>
        <w:pBdr>
          <w:top w:space="0" w:sz="0" w:val="nil"/>
          <w:left w:space="0" w:sz="0" w:val="nil"/>
          <w:bottom w:space="0" w:sz="0" w:val="nil"/>
          <w:right w:space="0" w:sz="0" w:val="nil"/>
          <w:between w:space="0" w:sz="0" w:val="nil"/>
        </w:pBdr>
        <w:shd w:fill="auto" w:val="clear"/>
        <w:ind w:firstLine="0"/>
        <w:jc w:val="center"/>
        <w:rPr>
          <w:b w:val="0"/>
        </w:rPr>
      </w:pPr>
      <w:bookmarkStart w:colFirst="0" w:colLast="0" w:name="_8qz8f8sp3xcr" w:id="5"/>
      <w:bookmarkEnd w:id="5"/>
      <w:r w:rsidDel="00000000" w:rsidR="00000000" w:rsidRPr="00000000">
        <w:rPr>
          <w:b w:val="0"/>
          <w:rtl w:val="0"/>
        </w:rPr>
        <w:t xml:space="preserve">Do Pets Affect The Mental Health of NMC Students?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topic “Do pets affect the Mental Health of NMC Students”, is interesting because the researcher will be able to test out the effects of pets on actual NMC students through interviews. It is important because of the common biased opinion many have on the topic, and in this essay, the researcher can reveal the truth. The interviews may give the reader an idea of direct causes of stress in NMC students. It would also be interesting for pet owners to find out if their pets actually have an effect on their mental health.</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So far, the student researcher has found a total of nine sources. Through the use of Google Scholar, the writer was able to find the academic sources. In addition to finding academic sources, non-academic sources were found on the web as well. It consists of mostly academic sources, however. Aside from those, direct sources such as pet owners may count as well.</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In terms of collecting data, the researcher will get the opportunity to have 40 NMC students take an electronic survey. The researcher will also interview various pet owners and conduct experiments on them that will induce stress while their pet is in the room. Preferably in their hands. After the data has been collected, the writer will compare data with the information found in the academic sources found. If possible, the student research will try to interview an NMC General Psychology instructor to ask questions in regards to the importance of human and animal companionship. The Data Collecting, Analyzing, Reading and Writing schedule is provided below and may be subjected to change at any time. </w:t>
        <w:br w:type="textWrapping"/>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tbl>
      <w:tblPr>
        <w:tblStyle w:val="Table1"/>
        <w:tblW w:w="9120.0" w:type="dxa"/>
        <w:jc w:val="left"/>
        <w:tblInd w:w="140.0" w:type="pc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4350"/>
        <w:gridCol w:w="4770"/>
        <w:tblGridChange w:id="0">
          <w:tblGrid>
            <w:gridCol w:w="4350"/>
            <w:gridCol w:w="4770"/>
          </w:tblGrid>
        </w:tblGridChange>
      </w:tblGrid>
      <w:tr>
        <w:trPr>
          <w:trHeight w:val="900" w:hRule="atLeast"/>
        </w:trPr>
        <w:tc>
          <w:tcPr>
            <w:tcBorders>
              <w:right w:color="d9d9d9" w:space="0" w:sz="8" w:val="single"/>
            </w:tcBorders>
            <w:tcMar>
              <w:top w:w="140.0" w:type="dxa"/>
              <w:left w:w="140.0" w:type="dxa"/>
              <w:bottom w:w="140.0" w:type="dxa"/>
              <w:right w:w="140.0" w:type="dxa"/>
            </w:tcMar>
            <w:vAlign w:val="top"/>
          </w:tcPr>
          <w:p w:rsidR="00000000" w:rsidDel="00000000" w:rsidP="00000000" w:rsidRDefault="00000000" w:rsidRPr="00000000" w14:paraId="0000000D">
            <w:pPr>
              <w:widowControl w:val="0"/>
              <w:spacing w:line="240" w:lineRule="auto"/>
              <w:jc w:val="center"/>
              <w:rPr>
                <w:rFonts w:ascii="Lato" w:cs="Lato" w:eastAsia="Lato" w:hAnsi="Lato"/>
                <w:color w:val="666666"/>
                <w:sz w:val="36"/>
                <w:szCs w:val="36"/>
              </w:rPr>
            </w:pPr>
            <w:r w:rsidDel="00000000" w:rsidR="00000000" w:rsidRPr="00000000">
              <w:rPr>
                <w:rFonts w:ascii="Lato" w:cs="Lato" w:eastAsia="Lato" w:hAnsi="Lato"/>
                <w:color w:val="666666"/>
                <w:sz w:val="36"/>
                <w:szCs w:val="36"/>
                <w:rtl w:val="0"/>
              </w:rPr>
              <w:t xml:space="preserve">Data Collecting</w:t>
            </w:r>
          </w:p>
        </w:tc>
        <w:tc>
          <w:tcPr>
            <w:tcBorders>
              <w:top w:color="d9d9d9" w:space="0" w:sz="8" w:val="single"/>
              <w:left w:color="d9d9d9" w:space="0" w:sz="8" w:val="single"/>
              <w:bottom w:color="d9d9d9" w:space="0" w:sz="8" w:val="single"/>
              <w:right w:color="d9d9d9" w:space="0" w:sz="8" w:val="single"/>
            </w:tcBorders>
            <w:tcMar>
              <w:top w:w="140.0" w:type="dxa"/>
              <w:left w:w="140.0" w:type="dxa"/>
              <w:bottom w:w="140.0" w:type="dxa"/>
              <w:right w:w="140.0" w:type="dxa"/>
            </w:tcMar>
            <w:vAlign w:val="top"/>
          </w:tcPr>
          <w:p w:rsidR="00000000" w:rsidDel="00000000" w:rsidP="00000000" w:rsidRDefault="00000000" w:rsidRPr="00000000" w14:paraId="0000000E">
            <w:pPr>
              <w:widowControl w:val="0"/>
              <w:spacing w:line="240" w:lineRule="auto"/>
              <w:jc w:val="center"/>
              <w:rPr>
                <w:rFonts w:ascii="Lato" w:cs="Lato" w:eastAsia="Lato" w:hAnsi="Lato"/>
                <w:sz w:val="36"/>
                <w:szCs w:val="36"/>
              </w:rPr>
            </w:pPr>
            <w:r w:rsidDel="00000000" w:rsidR="00000000" w:rsidRPr="00000000">
              <w:rPr>
                <w:rFonts w:ascii="Lato" w:cs="Lato" w:eastAsia="Lato" w:hAnsi="Lato"/>
                <w:sz w:val="36"/>
                <w:szCs w:val="36"/>
                <w:rtl w:val="0"/>
              </w:rPr>
              <w:t xml:space="preserve">Sept. 20 - Oct. 28</w:t>
            </w:r>
          </w:p>
        </w:tc>
      </w:tr>
      <w:tr>
        <w:trPr>
          <w:trHeight w:val="900" w:hRule="atLeast"/>
        </w:trPr>
        <w:tc>
          <w:tcPr>
            <w:tcBorders>
              <w:right w:color="d9d9d9" w:space="0" w:sz="8" w:val="single"/>
            </w:tcBorders>
            <w:tcMar>
              <w:top w:w="140.0" w:type="dxa"/>
              <w:left w:w="140.0" w:type="dxa"/>
              <w:bottom w:w="140.0" w:type="dxa"/>
              <w:right w:w="140.0" w:type="dxa"/>
            </w:tcMar>
            <w:vAlign w:val="top"/>
          </w:tcPr>
          <w:p w:rsidR="00000000" w:rsidDel="00000000" w:rsidP="00000000" w:rsidRDefault="00000000" w:rsidRPr="00000000" w14:paraId="0000000F">
            <w:pPr>
              <w:widowControl w:val="0"/>
              <w:spacing w:line="240" w:lineRule="auto"/>
              <w:jc w:val="center"/>
              <w:rPr>
                <w:rFonts w:ascii="Lato" w:cs="Lato" w:eastAsia="Lato" w:hAnsi="Lato"/>
                <w:color w:val="666666"/>
                <w:sz w:val="36"/>
                <w:szCs w:val="36"/>
              </w:rPr>
            </w:pPr>
            <w:r w:rsidDel="00000000" w:rsidR="00000000" w:rsidRPr="00000000">
              <w:rPr>
                <w:rFonts w:ascii="Lato" w:cs="Lato" w:eastAsia="Lato" w:hAnsi="Lato"/>
                <w:color w:val="666666"/>
                <w:sz w:val="36"/>
                <w:szCs w:val="36"/>
                <w:rtl w:val="0"/>
              </w:rPr>
              <w:t xml:space="preserve">Reading</w:t>
            </w:r>
          </w:p>
        </w:tc>
        <w:tc>
          <w:tcPr>
            <w:tcBorders>
              <w:top w:color="d9d9d9" w:space="0" w:sz="8" w:val="single"/>
              <w:left w:color="d9d9d9" w:space="0" w:sz="8" w:val="single"/>
              <w:bottom w:color="d9d9d9" w:space="0" w:sz="8" w:val="single"/>
              <w:right w:color="d9d9d9" w:space="0" w:sz="8" w:val="single"/>
            </w:tcBorders>
            <w:tcMar>
              <w:top w:w="140.0" w:type="dxa"/>
              <w:left w:w="140.0" w:type="dxa"/>
              <w:bottom w:w="140.0" w:type="dxa"/>
              <w:right w:w="140.0" w:type="dxa"/>
            </w:tcMar>
            <w:vAlign w:val="top"/>
          </w:tcPr>
          <w:p w:rsidR="00000000" w:rsidDel="00000000" w:rsidP="00000000" w:rsidRDefault="00000000" w:rsidRPr="00000000" w14:paraId="00000010">
            <w:pPr>
              <w:widowControl w:val="0"/>
              <w:spacing w:line="240" w:lineRule="auto"/>
              <w:jc w:val="center"/>
              <w:rPr>
                <w:rFonts w:ascii="Lato" w:cs="Lato" w:eastAsia="Lato" w:hAnsi="Lato"/>
                <w:sz w:val="36"/>
                <w:szCs w:val="36"/>
              </w:rPr>
            </w:pPr>
            <w:r w:rsidDel="00000000" w:rsidR="00000000" w:rsidRPr="00000000">
              <w:rPr>
                <w:rFonts w:ascii="Lato" w:cs="Lato" w:eastAsia="Lato" w:hAnsi="Lato"/>
                <w:sz w:val="36"/>
                <w:szCs w:val="36"/>
                <w:rtl w:val="0"/>
              </w:rPr>
              <w:t xml:space="preserve">Sept. 20 - Oct. 28</w:t>
            </w:r>
          </w:p>
        </w:tc>
      </w:tr>
      <w:tr>
        <w:trPr>
          <w:trHeight w:val="900" w:hRule="atLeast"/>
        </w:trPr>
        <w:tc>
          <w:tcPr>
            <w:tcBorders>
              <w:right w:color="d9d9d9" w:space="0" w:sz="8" w:val="single"/>
            </w:tcBorders>
            <w:tcMar>
              <w:top w:w="140.0" w:type="dxa"/>
              <w:left w:w="140.0" w:type="dxa"/>
              <w:bottom w:w="140.0" w:type="dxa"/>
              <w:right w:w="140.0" w:type="dxa"/>
            </w:tcMar>
            <w:vAlign w:val="top"/>
          </w:tcPr>
          <w:p w:rsidR="00000000" w:rsidDel="00000000" w:rsidP="00000000" w:rsidRDefault="00000000" w:rsidRPr="00000000" w14:paraId="00000011">
            <w:pPr>
              <w:widowControl w:val="0"/>
              <w:spacing w:line="240" w:lineRule="auto"/>
              <w:jc w:val="center"/>
              <w:rPr>
                <w:rFonts w:ascii="Lato" w:cs="Lato" w:eastAsia="Lato" w:hAnsi="Lato"/>
                <w:color w:val="666666"/>
                <w:sz w:val="36"/>
                <w:szCs w:val="36"/>
              </w:rPr>
            </w:pPr>
            <w:r w:rsidDel="00000000" w:rsidR="00000000" w:rsidRPr="00000000">
              <w:rPr>
                <w:rFonts w:ascii="Lato" w:cs="Lato" w:eastAsia="Lato" w:hAnsi="Lato"/>
                <w:color w:val="666666"/>
                <w:sz w:val="36"/>
                <w:szCs w:val="36"/>
                <w:rtl w:val="0"/>
              </w:rPr>
              <w:t xml:space="preserve">Analyzing</w:t>
            </w:r>
          </w:p>
        </w:tc>
        <w:tc>
          <w:tcPr>
            <w:tcBorders>
              <w:top w:color="d9d9d9" w:space="0" w:sz="8" w:val="single"/>
              <w:left w:color="d9d9d9" w:space="0" w:sz="8" w:val="single"/>
              <w:bottom w:color="d9d9d9" w:space="0" w:sz="8" w:val="single"/>
              <w:right w:color="d9d9d9" w:space="0" w:sz="8" w:val="single"/>
            </w:tcBorders>
            <w:tcMar>
              <w:top w:w="140.0" w:type="dxa"/>
              <w:left w:w="140.0" w:type="dxa"/>
              <w:bottom w:w="140.0" w:type="dxa"/>
              <w:right w:w="140.0" w:type="dxa"/>
            </w:tcMar>
            <w:vAlign w:val="top"/>
          </w:tcPr>
          <w:p w:rsidR="00000000" w:rsidDel="00000000" w:rsidP="00000000" w:rsidRDefault="00000000" w:rsidRPr="00000000" w14:paraId="00000012">
            <w:pPr>
              <w:widowControl w:val="0"/>
              <w:spacing w:line="240" w:lineRule="auto"/>
              <w:jc w:val="center"/>
              <w:rPr>
                <w:rFonts w:ascii="Lato" w:cs="Lato" w:eastAsia="Lato" w:hAnsi="Lato"/>
                <w:sz w:val="36"/>
                <w:szCs w:val="36"/>
              </w:rPr>
            </w:pPr>
            <w:r w:rsidDel="00000000" w:rsidR="00000000" w:rsidRPr="00000000">
              <w:rPr>
                <w:rFonts w:ascii="Lato" w:cs="Lato" w:eastAsia="Lato" w:hAnsi="Lato"/>
                <w:sz w:val="36"/>
                <w:szCs w:val="36"/>
                <w:rtl w:val="0"/>
              </w:rPr>
              <w:t xml:space="preserve">Oct. 28 - Nov. 27</w:t>
            </w:r>
          </w:p>
        </w:tc>
      </w:tr>
      <w:tr>
        <w:trPr>
          <w:trHeight w:val="900" w:hRule="atLeast"/>
        </w:trPr>
        <w:tc>
          <w:tcPr>
            <w:tcBorders>
              <w:right w:color="d9d9d9" w:space="0" w:sz="8" w:val="single"/>
            </w:tcBorders>
            <w:tcMar>
              <w:top w:w="140.0" w:type="dxa"/>
              <w:left w:w="140.0" w:type="dxa"/>
              <w:bottom w:w="140.0" w:type="dxa"/>
              <w:right w:w="140.0" w:type="dxa"/>
            </w:tcMar>
            <w:vAlign w:val="top"/>
          </w:tcPr>
          <w:p w:rsidR="00000000" w:rsidDel="00000000" w:rsidP="00000000" w:rsidRDefault="00000000" w:rsidRPr="00000000" w14:paraId="00000013">
            <w:pPr>
              <w:widowControl w:val="0"/>
              <w:spacing w:line="240" w:lineRule="auto"/>
              <w:jc w:val="center"/>
              <w:rPr>
                <w:rFonts w:ascii="Lato" w:cs="Lato" w:eastAsia="Lato" w:hAnsi="Lato"/>
                <w:color w:val="666666"/>
                <w:sz w:val="36"/>
                <w:szCs w:val="36"/>
              </w:rPr>
            </w:pPr>
            <w:r w:rsidDel="00000000" w:rsidR="00000000" w:rsidRPr="00000000">
              <w:rPr>
                <w:rFonts w:ascii="Lato" w:cs="Lato" w:eastAsia="Lato" w:hAnsi="Lato"/>
                <w:color w:val="666666"/>
                <w:sz w:val="36"/>
                <w:szCs w:val="36"/>
                <w:rtl w:val="0"/>
              </w:rPr>
              <w:t xml:space="preserve">Writing</w:t>
            </w:r>
          </w:p>
        </w:tc>
        <w:tc>
          <w:tcPr>
            <w:tcBorders>
              <w:top w:color="d9d9d9" w:space="0" w:sz="8" w:val="single"/>
              <w:left w:color="d9d9d9" w:space="0" w:sz="8" w:val="single"/>
              <w:bottom w:color="d9d9d9" w:space="0" w:sz="8" w:val="single"/>
              <w:right w:color="d9d9d9" w:space="0" w:sz="8" w:val="single"/>
            </w:tcBorders>
            <w:tcMar>
              <w:top w:w="140.0" w:type="dxa"/>
              <w:left w:w="140.0" w:type="dxa"/>
              <w:bottom w:w="140.0" w:type="dxa"/>
              <w:right w:w="140.0" w:type="dxa"/>
            </w:tcMar>
            <w:vAlign w:val="top"/>
          </w:tcPr>
          <w:p w:rsidR="00000000" w:rsidDel="00000000" w:rsidP="00000000" w:rsidRDefault="00000000" w:rsidRPr="00000000" w14:paraId="00000014">
            <w:pPr>
              <w:widowControl w:val="0"/>
              <w:spacing w:line="240" w:lineRule="auto"/>
              <w:jc w:val="center"/>
              <w:rPr>
                <w:rFonts w:ascii="Lato" w:cs="Lato" w:eastAsia="Lato" w:hAnsi="Lato"/>
                <w:sz w:val="36"/>
                <w:szCs w:val="36"/>
              </w:rPr>
            </w:pPr>
            <w:r w:rsidDel="00000000" w:rsidR="00000000" w:rsidRPr="00000000">
              <w:rPr>
                <w:rFonts w:ascii="Lato" w:cs="Lato" w:eastAsia="Lato" w:hAnsi="Lato"/>
                <w:sz w:val="36"/>
                <w:szCs w:val="36"/>
                <w:rtl w:val="0"/>
              </w:rPr>
              <w:t xml:space="preserve">Oct. 28 - Nov. 26</w:t>
            </w:r>
          </w:p>
        </w:tc>
      </w:tr>
    </w:tbl>
    <w:p w:rsidR="00000000" w:rsidDel="00000000" w:rsidP="00000000" w:rsidRDefault="00000000" w:rsidRPr="00000000" w14:paraId="00000015">
      <w:pPr>
        <w:pStyle w:val="Heading1"/>
        <w:pBdr>
          <w:top w:space="0" w:sz="0" w:val="nil"/>
          <w:left w:space="0" w:sz="0" w:val="nil"/>
          <w:bottom w:space="0" w:sz="0" w:val="nil"/>
          <w:right w:space="0" w:sz="0" w:val="nil"/>
          <w:between w:space="0" w:sz="0" w:val="nil"/>
        </w:pBdr>
        <w:shd w:fill="auto" w:val="clear"/>
        <w:jc w:val="center"/>
        <w:rPr>
          <w:b w:val="0"/>
        </w:rPr>
      </w:pPr>
      <w:bookmarkStart w:colFirst="0" w:colLast="0" w:name="_d0h39i3oocb3" w:id="6"/>
      <w:bookmarkEnd w:id="6"/>
      <w:r w:rsidDel="00000000" w:rsidR="00000000" w:rsidRPr="00000000">
        <w:rPr>
          <w:rtl w:val="0"/>
        </w:rPr>
      </w:r>
    </w:p>
    <w:p w:rsidR="00000000" w:rsidDel="00000000" w:rsidP="00000000" w:rsidRDefault="00000000" w:rsidRPr="00000000" w14:paraId="00000016">
      <w:pPr>
        <w:pStyle w:val="Heading1"/>
        <w:pBdr>
          <w:top w:space="0" w:sz="0" w:val="nil"/>
          <w:left w:space="0" w:sz="0" w:val="nil"/>
          <w:bottom w:space="0" w:sz="0" w:val="nil"/>
          <w:right w:space="0" w:sz="0" w:val="nil"/>
          <w:between w:space="0" w:sz="0" w:val="nil"/>
        </w:pBdr>
        <w:shd w:fill="auto" w:val="clear"/>
        <w:jc w:val="center"/>
        <w:rPr>
          <w:b w:val="0"/>
        </w:rPr>
      </w:pPr>
      <w:bookmarkStart w:colFirst="0" w:colLast="0" w:name="_kj8u0ui2y69x" w:id="7"/>
      <w:bookmarkEnd w:id="7"/>
      <w:r w:rsidDel="00000000" w:rsidR="00000000" w:rsidRPr="00000000">
        <w:br w:type="page"/>
      </w:r>
      <w:r w:rsidDel="00000000" w:rsidR="00000000" w:rsidRPr="00000000">
        <w:rPr>
          <w:rtl w:val="0"/>
        </w:rPr>
      </w:r>
    </w:p>
    <w:p w:rsidR="00000000" w:rsidDel="00000000" w:rsidP="00000000" w:rsidRDefault="00000000" w:rsidRPr="00000000" w14:paraId="00000017">
      <w:pPr>
        <w:pStyle w:val="Heading1"/>
        <w:pBdr>
          <w:top w:space="0" w:sz="0" w:val="nil"/>
          <w:left w:space="0" w:sz="0" w:val="nil"/>
          <w:bottom w:space="0" w:sz="0" w:val="nil"/>
          <w:right w:space="0" w:sz="0" w:val="nil"/>
          <w:between w:space="0" w:sz="0" w:val="nil"/>
        </w:pBdr>
        <w:shd w:fill="auto" w:val="clear"/>
        <w:jc w:val="center"/>
        <w:rPr>
          <w:b w:val="0"/>
        </w:rPr>
      </w:pPr>
      <w:bookmarkStart w:colFirst="0" w:colLast="0" w:name="_ie0ju6idepex" w:id="8"/>
      <w:bookmarkEnd w:id="8"/>
      <w:r w:rsidDel="00000000" w:rsidR="00000000" w:rsidRPr="00000000">
        <w:rPr>
          <w:b w:val="0"/>
          <w:rtl w:val="0"/>
        </w:rPr>
        <w:t xml:space="preserve">References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720"/>
        <w:rPr>
          <w:highlight w:val="white"/>
        </w:rPr>
      </w:pPr>
      <w:r w:rsidDel="00000000" w:rsidR="00000000" w:rsidRPr="00000000">
        <w:rPr>
          <w:highlight w:val="white"/>
          <w:rtl w:val="0"/>
        </w:rPr>
        <w:t xml:space="preserve">7 ways pets improve your health</w:t>
      </w:r>
      <w:r w:rsidDel="00000000" w:rsidR="00000000" w:rsidRPr="00000000">
        <w:rPr>
          <w:highlight w:val="white"/>
          <w:rtl w:val="0"/>
        </w:rPr>
        <w:t xml:space="preserve">. (n.d.). Retrieved on September 27 from https://www.healthdirect.gov.au/7-ways-pets-improve-your-mental-health</w:t>
      </w:r>
    </w:p>
    <w:p w:rsidR="00000000" w:rsidDel="00000000" w:rsidP="00000000" w:rsidRDefault="00000000" w:rsidRPr="00000000" w14:paraId="00000019">
      <w:pPr>
        <w:ind w:left="720"/>
        <w:rPr>
          <w:highlight w:val="white"/>
        </w:rPr>
      </w:pPr>
      <w:r w:rsidDel="00000000" w:rsidR="00000000" w:rsidRPr="00000000">
        <w:rPr>
          <w:highlight w:val="white"/>
          <w:rtl w:val="0"/>
        </w:rPr>
        <w:t xml:space="preserve">B., C. (2017, September). The Benefits of Pets on Mental Health. Retrieved on September 19 from https://www.brookhavenretreat.com/cms/blog-22/iteams/3024-pets-benefit-mental-health</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720"/>
        <w:rPr>
          <w:highlight w:val="white"/>
        </w:rPr>
      </w:pPr>
      <w:r w:rsidDel="00000000" w:rsidR="00000000" w:rsidRPr="00000000">
        <w:rPr>
          <w:highlight w:val="white"/>
          <w:rtl w:val="0"/>
        </w:rPr>
        <w:t xml:space="preserve">Cherniack, E. P</w:t>
      </w:r>
      <w:r w:rsidDel="00000000" w:rsidR="00000000" w:rsidRPr="00000000">
        <w:rPr>
          <w:highlight w:val="white"/>
          <w:rtl w:val="0"/>
        </w:rPr>
        <w:t xml:space="preserve">. and Cherniack, A. R. (2014).  The Benefit of Pets and Animal-Assisted Therapy to the Health of Older Individuals. DOI: 10.115/2014/623203. Retrieved on September 27 from https://www.ncbi.nlm.nih.gov/pmc/articles/PMC4248608/</w:t>
      </w:r>
    </w:p>
    <w:p w:rsidR="00000000" w:rsidDel="00000000" w:rsidP="00000000" w:rsidRDefault="00000000" w:rsidRPr="00000000" w14:paraId="0000001B">
      <w:pPr>
        <w:ind w:left="720"/>
        <w:rPr>
          <w:highlight w:val="white"/>
        </w:rPr>
      </w:pPr>
      <w:r w:rsidDel="00000000" w:rsidR="00000000" w:rsidRPr="00000000">
        <w:rPr>
          <w:highlight w:val="white"/>
          <w:rtl w:val="0"/>
        </w:rPr>
        <w:t xml:space="preserve">Halm, M. A. (2008, July).  The Healing Power of the Human-Animal Connection. American Journal of Critical Care, 17(4) 373-376. Retrieved on September 19 from ajcc.aacnjournals.org/content/17/4/373.short</w:t>
      </w:r>
    </w:p>
    <w:p w:rsidR="00000000" w:rsidDel="00000000" w:rsidP="00000000" w:rsidRDefault="00000000" w:rsidRPr="00000000" w14:paraId="0000001C">
      <w:pPr>
        <w:ind w:left="720"/>
        <w:rPr>
          <w:highlight w:val="white"/>
        </w:rPr>
      </w:pPr>
      <w:r w:rsidDel="00000000" w:rsidR="00000000" w:rsidRPr="00000000">
        <w:rPr>
          <w:highlight w:val="white"/>
          <w:rtl w:val="0"/>
        </w:rPr>
        <w:t xml:space="preserve">Hank, D. (2017, December). 12 ways your Pet can improve your Mental Health!. Retrieved on September 19 from https://huffingtonpost.com/danielle-hank-ownership-health_b_3187960.html</w:t>
      </w:r>
    </w:p>
    <w:p w:rsidR="00000000" w:rsidDel="00000000" w:rsidP="00000000" w:rsidRDefault="00000000" w:rsidRPr="00000000" w14:paraId="0000001D">
      <w:pPr>
        <w:ind w:left="720"/>
        <w:rPr>
          <w:highlight w:val="white"/>
        </w:rPr>
      </w:pPr>
      <w:r w:rsidDel="00000000" w:rsidR="00000000" w:rsidRPr="00000000">
        <w:rPr>
          <w:highlight w:val="white"/>
          <w:rtl w:val="0"/>
        </w:rPr>
        <w:t xml:space="preserve">Herzog, H. (2011).  The Impact of Pets on Human Health and Psychological Well-Being: Fact, Fiction, or Hypothesis? 237-239, DOI: 10.1177/0963721411415220. Retrieved on September 27 from </w:t>
      </w:r>
      <w:r w:rsidDel="00000000" w:rsidR="00000000" w:rsidRPr="00000000">
        <w:rPr>
          <w:highlight w:val="white"/>
          <w:rtl w:val="0"/>
        </w:rPr>
        <w:t xml:space="preserve">https://pdfs.semanticscholar.org/7c5f/6a51fbea2262946d9494e17d0beb34b96089.pdf</w:t>
      </w:r>
      <w:r w:rsidDel="00000000" w:rsidR="00000000" w:rsidRPr="00000000">
        <w:rPr>
          <w:highlight w:val="white"/>
          <w:rtl w:val="0"/>
        </w:rPr>
        <w:br w:type="textWrapping"/>
      </w:r>
    </w:p>
    <w:p w:rsidR="00000000" w:rsidDel="00000000" w:rsidP="00000000" w:rsidRDefault="00000000" w:rsidRPr="00000000" w14:paraId="0000001E">
      <w:pPr>
        <w:ind w:left="720"/>
        <w:rPr>
          <w:highlight w:val="white"/>
        </w:rPr>
      </w:pPr>
      <w:r w:rsidDel="00000000" w:rsidR="00000000" w:rsidRPr="00000000">
        <w:rPr>
          <w:rtl w:val="0"/>
        </w:rPr>
      </w:r>
    </w:p>
    <w:p w:rsidR="00000000" w:rsidDel="00000000" w:rsidP="00000000" w:rsidRDefault="00000000" w:rsidRPr="00000000" w14:paraId="0000001F">
      <w:pPr>
        <w:ind w:left="720"/>
        <w:rPr>
          <w:highlight w:val="white"/>
        </w:rPr>
      </w:pPr>
      <w:r w:rsidDel="00000000" w:rsidR="00000000" w:rsidRPr="00000000">
        <w:rPr>
          <w:rtl w:val="0"/>
        </w:rPr>
      </w:r>
    </w:p>
    <w:p w:rsidR="00000000" w:rsidDel="00000000" w:rsidP="00000000" w:rsidRDefault="00000000" w:rsidRPr="00000000" w14:paraId="00000020">
      <w:pPr>
        <w:pStyle w:val="Heading1"/>
        <w:rPr>
          <w:highlight w:val="white"/>
        </w:rPr>
      </w:pPr>
      <w:bookmarkStart w:colFirst="0" w:colLast="0" w:name="_cobv9cupe799" w:id="9"/>
      <w:bookmarkEnd w:id="9"/>
      <w:r w:rsidDel="00000000" w:rsidR="00000000" w:rsidRPr="00000000">
        <w:rPr>
          <w:b w:val="0"/>
          <w:rtl w:val="0"/>
        </w:rPr>
        <w:t xml:space="preserve">References</w:t>
      </w:r>
      <w:r w:rsidDel="00000000" w:rsidR="00000000" w:rsidRPr="00000000">
        <w:rPr>
          <w:rtl w:val="0"/>
        </w:rPr>
      </w:r>
    </w:p>
    <w:p w:rsidR="00000000" w:rsidDel="00000000" w:rsidP="00000000" w:rsidRDefault="00000000" w:rsidRPr="00000000" w14:paraId="00000021">
      <w:pPr>
        <w:ind w:left="720"/>
        <w:rPr>
          <w:highlight w:val="white"/>
        </w:rPr>
      </w:pPr>
      <w:r w:rsidDel="00000000" w:rsidR="00000000" w:rsidRPr="00000000">
        <w:rPr>
          <w:highlight w:val="white"/>
          <w:rtl w:val="0"/>
        </w:rPr>
        <w:t xml:space="preserve">McNicholas, J., Gilbey, A., Rennie, A., Ahmedzia, S., Dono, J., Ormerod, E. (2005, November). Pet ownership and human health: a brief review of evidence and issues BMJ 2005;331:1252. Retrieved on September 27 from https://www.bmj.com/content/331/7527/1252?ecoll=</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720"/>
        <w:rPr/>
      </w:pPr>
      <w:r w:rsidDel="00000000" w:rsidR="00000000" w:rsidRPr="00000000">
        <w:rPr>
          <w:highlight w:val="white"/>
          <w:rtl w:val="0"/>
        </w:rPr>
        <w:t xml:space="preserve">Pets and mental health. (n.d.). Retrieved on September 19 from https:www.mentalhealth.org.uk/a-to-z/p/pets-and-mental-health</w:t>
      </w:r>
      <w:r w:rsidDel="00000000" w:rsidR="00000000" w:rsidRPr="00000000">
        <w:rPr>
          <w:rtl w:val="0"/>
        </w:rPr>
      </w:r>
    </w:p>
    <w:p w:rsidR="00000000" w:rsidDel="00000000" w:rsidP="00000000" w:rsidRDefault="00000000" w:rsidRPr="00000000" w14:paraId="00000023">
      <w:pPr>
        <w:ind w:left="720"/>
        <w:rPr/>
      </w:pPr>
      <w:r w:rsidDel="00000000" w:rsidR="00000000" w:rsidRPr="00000000">
        <w:rPr>
          <w:highlight w:val="white"/>
          <w:rtl w:val="0"/>
        </w:rPr>
        <w:t xml:space="preserve">Sanoiu, A. (2018). It’s official: Pets benefit our mental health. Medical News Today. Retrieved on September 27 from https://www.medicalnewstoday.com/articles/320950.php</w:t>
      </w:r>
      <w:r w:rsidDel="00000000" w:rsidR="00000000" w:rsidRPr="00000000">
        <w:rPr>
          <w:rtl w:val="0"/>
        </w:rPr>
      </w:r>
    </w:p>
    <w:sectPr>
      <w:headerReference r:id="rId6" w:type="default"/>
      <w:headerReference r:id="rId7"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before="960" w:lineRule="auto"/>
      <w:rPr/>
    </w:pPr>
    <w:r w:rsidDel="00000000" w:rsidR="00000000" w:rsidRPr="00000000">
      <w:rPr>
        <w:rtl w:val="0"/>
      </w:rPr>
      <w:t xml:space="preserve">PETS AND NMC STUDENTS</w:t>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before="960" w:lineRule="auto"/>
      <w:rPr/>
    </w:pPr>
    <w:r w:rsidDel="00000000" w:rsidR="00000000" w:rsidRPr="00000000">
      <w:rPr>
        <w:rtl w:val="0"/>
      </w:rPr>
      <w:t xml:space="preserve">Running head: PETS AND NMC STUDENTS</w:t>
      <w:tab/>
      <w:tab/>
      <w:tab/>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rPr>
  </w:style>
  <w:style w:type="paragraph" w:styleId="Heading2">
    <w:name w:val="heading 2"/>
    <w:basedOn w:val="Normal"/>
    <w:next w:val="Normal"/>
    <w:pPr>
      <w:keepNext w:val="1"/>
      <w:keepLines w:val="1"/>
    </w:pPr>
    <w:rPr>
      <w:b w:val="1"/>
    </w:rPr>
  </w:style>
  <w:style w:type="paragraph" w:styleId="Heading3">
    <w:name w:val="heading 3"/>
    <w:basedOn w:val="Normal"/>
    <w:next w:val="Normal"/>
    <w:pPr>
      <w:keepNext w:val="1"/>
      <w:keepLines w:val="1"/>
      <w:ind w:firstLine="720"/>
    </w:pPr>
    <w:rPr>
      <w:b w:val="1"/>
    </w:rPr>
  </w:style>
  <w:style w:type="paragraph" w:styleId="Heading4">
    <w:name w:val="heading 4"/>
    <w:basedOn w:val="Normal"/>
    <w:next w:val="Normal"/>
    <w:pPr>
      <w:keepNext w:val="1"/>
      <w:keepLines w:val="1"/>
      <w:ind w:firstLine="720"/>
    </w:pPr>
    <w:rPr>
      <w:b w:val="1"/>
      <w:i w:val="1"/>
    </w:rPr>
  </w:style>
  <w:style w:type="paragraph" w:styleId="Heading5">
    <w:name w:val="heading 5"/>
    <w:basedOn w:val="Normal"/>
    <w:next w:val="Normal"/>
    <w:pPr>
      <w:keepNext w:val="1"/>
      <w:keepLines w:val="1"/>
    </w:pPr>
    <w:rPr>
      <w:i w:val="1"/>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2160" w:lineRule="auto"/>
      <w:jc w:val="center"/>
    </w:pPr>
    <w:rPr/>
  </w:style>
  <w:style w:type="paragraph" w:styleId="Subtitle">
    <w:name w:val="Subtitle"/>
    <w:basedOn w:val="Normal"/>
    <w:next w:val="Normal"/>
    <w:pPr>
      <w:keepNext w:val="1"/>
      <w:keepLines w:val="1"/>
      <w:jc w:val="center"/>
    </w:pPr>
    <w:rPr/>
  </w:style>
  <w:style w:type="table" w:styleId="Table1">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